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42" w:rsidRPr="0010781F" w:rsidRDefault="002371E6">
      <w:pPr>
        <w:ind w:firstLine="720"/>
        <w:jc w:val="center"/>
        <w:rPr>
          <w:rFonts w:ascii="Times New Roman" w:eastAsia="Times New Roman" w:hAnsi="Times New Roman" w:cs="Times New Roman"/>
          <w:b/>
          <w:sz w:val="72"/>
          <w:szCs w:val="72"/>
        </w:rPr>
      </w:pPr>
      <w:bookmarkStart w:id="0" w:name="_gjdgxs" w:colFirst="0" w:colLast="0"/>
      <w:bookmarkEnd w:id="0"/>
      <w:r w:rsidRPr="0010781F">
        <w:rPr>
          <w:rFonts w:ascii="Times New Roman" w:eastAsia="Times New Roman" w:hAnsi="Times New Roman" w:cs="Times New Roman"/>
          <w:b/>
          <w:sz w:val="72"/>
          <w:szCs w:val="72"/>
        </w:rPr>
        <w:t>Burnside Primary School</w:t>
      </w:r>
    </w:p>
    <w:p w:rsidR="00744C42" w:rsidRDefault="002371E6">
      <w:pPr>
        <w:jc w:val="center"/>
        <w:rPr>
          <w:rFonts w:ascii="Times New Roman" w:eastAsia="Times New Roman" w:hAnsi="Times New Roman" w:cs="Times New Roman"/>
          <w:sz w:val="52"/>
          <w:szCs w:val="52"/>
        </w:rPr>
      </w:pPr>
      <w:r>
        <w:rPr>
          <w:noProof/>
        </w:rPr>
        <w:drawing>
          <wp:anchor distT="0" distB="0" distL="114300" distR="114300" simplePos="0" relativeHeight="251658240" behindDoc="0" locked="0" layoutInCell="1" hidden="0" allowOverlap="1">
            <wp:simplePos x="0" y="0"/>
            <wp:positionH relativeFrom="column">
              <wp:posOffset>1897379</wp:posOffset>
            </wp:positionH>
            <wp:positionV relativeFrom="paragraph">
              <wp:posOffset>382270</wp:posOffset>
            </wp:positionV>
            <wp:extent cx="1962150" cy="1962150"/>
            <wp:effectExtent l="0" t="0" r="0" b="0"/>
            <wp:wrapSquare wrapText="bothSides" distT="0" distB="0" distL="114300" distR="114300"/>
            <wp:docPr id="1" name="image1.png" descr="C:\Users\Burnside Teacher 9\Pictures\Burnside-logo.png"/>
            <wp:cNvGraphicFramePr/>
            <a:graphic xmlns:a="http://schemas.openxmlformats.org/drawingml/2006/main">
              <a:graphicData uri="http://schemas.openxmlformats.org/drawingml/2006/picture">
                <pic:pic xmlns:pic="http://schemas.openxmlformats.org/drawingml/2006/picture">
                  <pic:nvPicPr>
                    <pic:cNvPr id="0" name="image1.png" descr="C:\Users\Burnside Teacher 9\Pictures\Burnside-logo.png"/>
                    <pic:cNvPicPr preferRelativeResize="0"/>
                  </pic:nvPicPr>
                  <pic:blipFill>
                    <a:blip r:embed="rId4"/>
                    <a:srcRect/>
                    <a:stretch>
                      <a:fillRect/>
                    </a:stretch>
                  </pic:blipFill>
                  <pic:spPr>
                    <a:xfrm>
                      <a:off x="0" y="0"/>
                      <a:ext cx="1962150" cy="1962150"/>
                    </a:xfrm>
                    <a:prstGeom prst="rect">
                      <a:avLst/>
                    </a:prstGeom>
                    <a:ln/>
                  </pic:spPr>
                </pic:pic>
              </a:graphicData>
            </a:graphic>
          </wp:anchor>
        </w:drawing>
      </w:r>
    </w:p>
    <w:p w:rsidR="00744C42" w:rsidRDefault="00744C42">
      <w:pPr>
        <w:jc w:val="center"/>
        <w:rPr>
          <w:rFonts w:ascii="Times New Roman" w:eastAsia="Times New Roman" w:hAnsi="Times New Roman" w:cs="Times New Roman"/>
          <w:sz w:val="52"/>
          <w:szCs w:val="52"/>
        </w:rPr>
      </w:pPr>
    </w:p>
    <w:p w:rsidR="00744C42" w:rsidRDefault="00744C42">
      <w:pPr>
        <w:jc w:val="center"/>
        <w:rPr>
          <w:rFonts w:ascii="Times New Roman" w:eastAsia="Times New Roman" w:hAnsi="Times New Roman" w:cs="Times New Roman"/>
          <w:sz w:val="52"/>
          <w:szCs w:val="52"/>
        </w:rPr>
      </w:pPr>
    </w:p>
    <w:p w:rsidR="00744C42" w:rsidRDefault="00744C42">
      <w:pPr>
        <w:jc w:val="center"/>
        <w:rPr>
          <w:rFonts w:ascii="Times New Roman" w:eastAsia="Times New Roman" w:hAnsi="Times New Roman" w:cs="Times New Roman"/>
          <w:sz w:val="52"/>
          <w:szCs w:val="52"/>
        </w:rPr>
      </w:pPr>
    </w:p>
    <w:p w:rsidR="00744C42" w:rsidRDefault="00744C42">
      <w:pPr>
        <w:jc w:val="center"/>
        <w:rPr>
          <w:rFonts w:ascii="Times New Roman" w:eastAsia="Times New Roman" w:hAnsi="Times New Roman" w:cs="Times New Roman"/>
          <w:sz w:val="52"/>
          <w:szCs w:val="52"/>
        </w:rPr>
      </w:pPr>
    </w:p>
    <w:p w:rsidR="00744C42" w:rsidRDefault="00744C42">
      <w:pPr>
        <w:jc w:val="center"/>
        <w:rPr>
          <w:rFonts w:ascii="Times New Roman" w:eastAsia="Times New Roman" w:hAnsi="Times New Roman" w:cs="Times New Roman"/>
          <w:sz w:val="52"/>
          <w:szCs w:val="52"/>
        </w:rPr>
      </w:pPr>
    </w:p>
    <w:p w:rsidR="00744C42" w:rsidRDefault="00744C42">
      <w:pPr>
        <w:jc w:val="center"/>
        <w:rPr>
          <w:rFonts w:ascii="Arial" w:eastAsia="Arial" w:hAnsi="Arial" w:cs="Arial"/>
          <w:b/>
          <w:sz w:val="68"/>
          <w:szCs w:val="68"/>
        </w:rPr>
      </w:pPr>
    </w:p>
    <w:p w:rsidR="00744C42" w:rsidRPr="0010781F" w:rsidRDefault="002371E6">
      <w:pPr>
        <w:jc w:val="center"/>
        <w:rPr>
          <w:rFonts w:ascii="Times New Roman" w:eastAsia="Arial" w:hAnsi="Times New Roman" w:cs="Times New Roman"/>
          <w:b/>
          <w:sz w:val="68"/>
          <w:szCs w:val="68"/>
        </w:rPr>
      </w:pPr>
      <w:r w:rsidRPr="0010781F">
        <w:rPr>
          <w:rFonts w:ascii="Times New Roman" w:eastAsia="Arial" w:hAnsi="Times New Roman" w:cs="Times New Roman"/>
          <w:b/>
          <w:sz w:val="68"/>
          <w:szCs w:val="68"/>
        </w:rPr>
        <w:t xml:space="preserve">Admissions Policy </w:t>
      </w:r>
    </w:p>
    <w:p w:rsidR="00744C42" w:rsidRDefault="00744C42">
      <w:pPr>
        <w:jc w:val="center"/>
        <w:rPr>
          <w:rFonts w:ascii="Times New Roman" w:eastAsia="Times New Roman" w:hAnsi="Times New Roman" w:cs="Times New Roman"/>
          <w:sz w:val="52"/>
          <w:szCs w:val="52"/>
        </w:rPr>
      </w:pPr>
    </w:p>
    <w:p w:rsidR="00744C42" w:rsidRDefault="00744C42">
      <w:pPr>
        <w:rPr>
          <w:rFonts w:ascii="Times New Roman" w:eastAsia="Times New Roman" w:hAnsi="Times New Roman" w:cs="Times New Roman"/>
          <w:sz w:val="24"/>
          <w:szCs w:val="24"/>
        </w:rPr>
      </w:pPr>
    </w:p>
    <w:p w:rsidR="00744C42" w:rsidRDefault="00744C42">
      <w:pPr>
        <w:rPr>
          <w:rFonts w:ascii="Times New Roman" w:eastAsia="Times New Roman" w:hAnsi="Times New Roman" w:cs="Times New Roman"/>
          <w:sz w:val="24"/>
          <w:szCs w:val="24"/>
        </w:rPr>
      </w:pPr>
    </w:p>
    <w:p w:rsidR="00744C42" w:rsidRDefault="00744C42">
      <w:pPr>
        <w:rPr>
          <w:rFonts w:ascii="Times New Roman" w:eastAsia="Times New Roman" w:hAnsi="Times New Roman" w:cs="Times New Roman"/>
          <w:sz w:val="24"/>
          <w:szCs w:val="24"/>
        </w:rPr>
      </w:pPr>
    </w:p>
    <w:p w:rsidR="00744C42" w:rsidRDefault="00744C42">
      <w:pPr>
        <w:spacing w:after="0"/>
        <w:rPr>
          <w:rFonts w:ascii="Times New Roman" w:eastAsia="Times New Roman" w:hAnsi="Times New Roman" w:cs="Times New Roman"/>
          <w:sz w:val="24"/>
          <w:szCs w:val="24"/>
        </w:rPr>
      </w:pP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2466"/>
        <w:gridCol w:w="3050"/>
        <w:gridCol w:w="3509"/>
      </w:tblGrid>
      <w:tr w:rsidR="00744C42">
        <w:trPr>
          <w:trHeight w:val="465"/>
        </w:trPr>
        <w:tc>
          <w:tcPr>
            <w:tcW w:w="2465" w:type="dxa"/>
            <w:tcBorders>
              <w:top w:val="nil"/>
              <w:left w:val="nil"/>
              <w:bottom w:val="single" w:sz="18" w:space="0" w:color="FFFFFF"/>
              <w:right w:val="nil"/>
            </w:tcBorders>
            <w:shd w:val="clear" w:color="auto" w:fill="D9D9D9"/>
            <w:tcMar>
              <w:top w:w="60" w:type="dxa"/>
              <w:left w:w="100" w:type="dxa"/>
              <w:bottom w:w="60" w:type="dxa"/>
              <w:right w:w="100" w:type="dxa"/>
            </w:tcMar>
          </w:tcPr>
          <w:p w:rsidR="00744C42" w:rsidRDefault="002371E6">
            <w:pPr>
              <w:spacing w:before="240" w:after="24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by:</w:t>
            </w:r>
          </w:p>
        </w:tc>
        <w:tc>
          <w:tcPr>
            <w:tcW w:w="3050" w:type="dxa"/>
            <w:tcBorders>
              <w:top w:val="nil"/>
              <w:left w:val="nil"/>
              <w:bottom w:val="single" w:sz="18" w:space="0" w:color="FFFFFF"/>
              <w:right w:val="nil"/>
            </w:tcBorders>
            <w:shd w:val="clear" w:color="auto" w:fill="D9D9D9"/>
            <w:tcMar>
              <w:top w:w="60" w:type="dxa"/>
              <w:left w:w="100" w:type="dxa"/>
              <w:bottom w:w="60" w:type="dxa"/>
              <w:right w:w="100" w:type="dxa"/>
            </w:tcMar>
          </w:tcPr>
          <w:p w:rsidR="00744C42" w:rsidRDefault="002371E6">
            <w:pPr>
              <w:spacing w:before="240" w:after="2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Governing Body</w:t>
            </w:r>
          </w:p>
        </w:tc>
        <w:tc>
          <w:tcPr>
            <w:tcW w:w="3509" w:type="dxa"/>
            <w:tcBorders>
              <w:top w:val="nil"/>
              <w:left w:val="nil"/>
              <w:bottom w:val="single" w:sz="18" w:space="0" w:color="FFFFFF"/>
              <w:right w:val="nil"/>
            </w:tcBorders>
            <w:tcMar>
              <w:top w:w="60" w:type="dxa"/>
              <w:left w:w="100" w:type="dxa"/>
              <w:bottom w:w="60" w:type="dxa"/>
              <w:right w:w="100" w:type="dxa"/>
            </w:tcMar>
          </w:tcPr>
          <w:p w:rsidR="00744C42" w:rsidRDefault="002371E6">
            <w:pPr>
              <w:spacing w:before="240" w:after="240"/>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June 2022</w:t>
            </w:r>
          </w:p>
        </w:tc>
      </w:tr>
      <w:tr w:rsidR="00744C42">
        <w:trPr>
          <w:trHeight w:val="495"/>
        </w:trPr>
        <w:tc>
          <w:tcPr>
            <w:tcW w:w="2465" w:type="dxa"/>
            <w:tcBorders>
              <w:top w:val="nil"/>
              <w:left w:val="nil"/>
              <w:bottom w:val="single" w:sz="18" w:space="0" w:color="FFFFFF"/>
              <w:right w:val="nil"/>
            </w:tcBorders>
            <w:shd w:val="clear" w:color="auto" w:fill="D9D9D9"/>
            <w:tcMar>
              <w:top w:w="60" w:type="dxa"/>
              <w:left w:w="100" w:type="dxa"/>
              <w:bottom w:w="60" w:type="dxa"/>
              <w:right w:w="100" w:type="dxa"/>
            </w:tcMar>
          </w:tcPr>
          <w:p w:rsidR="00744C42" w:rsidRDefault="002371E6">
            <w:pPr>
              <w:spacing w:before="240" w:after="24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reviewed on:</w:t>
            </w:r>
          </w:p>
        </w:tc>
        <w:tc>
          <w:tcPr>
            <w:tcW w:w="6559" w:type="dxa"/>
            <w:gridSpan w:val="2"/>
            <w:tcBorders>
              <w:top w:val="nil"/>
              <w:left w:val="nil"/>
              <w:bottom w:val="single" w:sz="18" w:space="0" w:color="FFFFFF"/>
              <w:right w:val="nil"/>
            </w:tcBorders>
            <w:shd w:val="clear" w:color="auto" w:fill="D9D9D9"/>
            <w:tcMar>
              <w:top w:w="60" w:type="dxa"/>
              <w:left w:w="100" w:type="dxa"/>
              <w:bottom w:w="60" w:type="dxa"/>
              <w:right w:w="100" w:type="dxa"/>
            </w:tcMar>
          </w:tcPr>
          <w:p w:rsidR="00744C42" w:rsidRDefault="0010781F" w:rsidP="0010781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2024</w:t>
            </w:r>
          </w:p>
        </w:tc>
      </w:tr>
      <w:tr w:rsidR="00744C42">
        <w:trPr>
          <w:trHeight w:val="465"/>
        </w:trPr>
        <w:tc>
          <w:tcPr>
            <w:tcW w:w="2465" w:type="dxa"/>
            <w:tcBorders>
              <w:top w:val="nil"/>
              <w:left w:val="nil"/>
              <w:bottom w:val="nil"/>
              <w:right w:val="nil"/>
            </w:tcBorders>
            <w:shd w:val="clear" w:color="auto" w:fill="D9D9D9"/>
            <w:tcMar>
              <w:top w:w="60" w:type="dxa"/>
              <w:left w:w="100" w:type="dxa"/>
              <w:bottom w:w="60" w:type="dxa"/>
              <w:right w:w="100" w:type="dxa"/>
            </w:tcMar>
          </w:tcPr>
          <w:p w:rsidR="00744C42" w:rsidRDefault="002371E6">
            <w:pPr>
              <w:spacing w:before="240" w:after="24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Next review due by:</w:t>
            </w:r>
          </w:p>
        </w:tc>
        <w:tc>
          <w:tcPr>
            <w:tcW w:w="6559" w:type="dxa"/>
            <w:gridSpan w:val="2"/>
            <w:tcBorders>
              <w:top w:val="nil"/>
              <w:left w:val="nil"/>
              <w:bottom w:val="nil"/>
              <w:right w:val="nil"/>
            </w:tcBorders>
            <w:shd w:val="clear" w:color="auto" w:fill="D9D9D9"/>
            <w:tcMar>
              <w:top w:w="60" w:type="dxa"/>
              <w:left w:w="100" w:type="dxa"/>
              <w:bottom w:w="60" w:type="dxa"/>
              <w:right w:w="100" w:type="dxa"/>
            </w:tcMar>
          </w:tcPr>
          <w:p w:rsidR="00744C42" w:rsidRDefault="0010781F" w:rsidP="0010781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2025</w:t>
            </w:r>
          </w:p>
        </w:tc>
      </w:tr>
    </w:tbl>
    <w:p w:rsidR="0010781F" w:rsidRDefault="0010781F">
      <w:pPr>
        <w:rPr>
          <w:rFonts w:ascii="Times New Roman" w:eastAsia="Times New Roman" w:hAnsi="Times New Roman" w:cs="Times New Roman"/>
          <w:b/>
          <w:sz w:val="24"/>
          <w:szCs w:val="24"/>
          <w:u w:val="single"/>
        </w:rPr>
      </w:pPr>
    </w:p>
    <w:p w:rsidR="0010781F" w:rsidRDefault="0010781F">
      <w:pPr>
        <w:rPr>
          <w:rFonts w:ascii="Times New Roman" w:eastAsia="Times New Roman" w:hAnsi="Times New Roman" w:cs="Times New Roman"/>
          <w:b/>
          <w:sz w:val="24"/>
          <w:szCs w:val="24"/>
          <w:u w:val="single"/>
        </w:rPr>
      </w:pPr>
    </w:p>
    <w:p w:rsidR="00744C42" w:rsidRDefault="002371E6">
      <w:pPr>
        <w:rPr>
          <w:rFonts w:ascii="Times New Roman" w:eastAsia="Times New Roman" w:hAnsi="Times New Roman" w:cs="Times New Roman"/>
          <w:b/>
          <w:sz w:val="24"/>
          <w:szCs w:val="24"/>
          <w:u w:val="single"/>
        </w:rPr>
      </w:pPr>
      <w:bookmarkStart w:id="1" w:name="_GoBack"/>
      <w:bookmarkEnd w:id="1"/>
      <w:r>
        <w:rPr>
          <w:rFonts w:ascii="Times New Roman" w:eastAsia="Times New Roman" w:hAnsi="Times New Roman" w:cs="Times New Roman"/>
          <w:b/>
          <w:sz w:val="24"/>
          <w:szCs w:val="24"/>
          <w:u w:val="single"/>
        </w:rPr>
        <w:lastRenderedPageBreak/>
        <w:t xml:space="preserve">Introduction </w:t>
      </w:r>
    </w:p>
    <w:p w:rsidR="00744C42" w:rsidRDefault="002371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governing body applies the regulations on admissions fairly and equally to all those who wish to attend this school. The School Standards and Framework Act 1998 introduced a new framework for school admissions as of September 2000. This was later revised in the Education Act of 2002. Our admissions policy confirms to the regulations that are set out in that Act and are further explained in the statutory School Admissions Code of Practice and the statutory Appeals Code of Practice. These were revised in January 2003 and came into force in September 2004. </w:t>
      </w:r>
    </w:p>
    <w:p w:rsidR="00744C42" w:rsidRDefault="00744C42">
      <w:pPr>
        <w:rPr>
          <w:rFonts w:ascii="Times New Roman" w:eastAsia="Times New Roman" w:hAnsi="Times New Roman" w:cs="Times New Roman"/>
          <w:sz w:val="24"/>
          <w:szCs w:val="24"/>
        </w:rPr>
      </w:pPr>
    </w:p>
    <w:p w:rsidR="00744C42" w:rsidRDefault="002371E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Aims and objectives </w:t>
      </w:r>
    </w:p>
    <w:p w:rsidR="00744C42" w:rsidRDefault="002371E6">
      <w:pPr>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We seek to be an inclusive school, welcoming children from all backgrounds and abilities. </w:t>
      </w:r>
    </w:p>
    <w:p w:rsidR="00744C42" w:rsidRDefault="002371E6">
      <w:pPr>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All applications will be treated on merit, and in a sensitive manner.</w:t>
      </w:r>
    </w:p>
    <w:p w:rsidR="00744C42" w:rsidRDefault="002371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The only restriction we place on entry is that of number. If the number of children applying for entry exceeds the places available, we adopt the procedure set out below to determine whether a child is to be accepted or not. It is our wish for parents to find a place for their child at the school of their choice. </w:t>
      </w:r>
    </w:p>
    <w:p w:rsidR="00744C42" w:rsidRDefault="002371E6">
      <w:pPr>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For each year group the admissions limit is 30. </w:t>
      </w:r>
    </w:p>
    <w:p w:rsidR="00744C42" w:rsidRDefault="002371E6">
      <w:pPr>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A child’s level of ability is irrelevant to this school’s admissions </w:t>
      </w:r>
      <w:proofErr w:type="gramStart"/>
      <w:r>
        <w:rPr>
          <w:rFonts w:ascii="Times New Roman" w:eastAsia="Times New Roman" w:hAnsi="Times New Roman" w:cs="Times New Roman"/>
          <w:sz w:val="24"/>
          <w:szCs w:val="24"/>
        </w:rPr>
        <w:t>policy,</w:t>
      </w:r>
      <w:proofErr w:type="gramEnd"/>
      <w:r>
        <w:rPr>
          <w:rFonts w:ascii="Times New Roman" w:eastAsia="Times New Roman" w:hAnsi="Times New Roman" w:cs="Times New Roman"/>
          <w:sz w:val="24"/>
          <w:szCs w:val="24"/>
        </w:rPr>
        <w:t xml:space="preserve"> as are any special needs the child may have. </w:t>
      </w:r>
    </w:p>
    <w:p w:rsidR="00744C42" w:rsidRDefault="00744C42">
      <w:pPr>
        <w:rPr>
          <w:rFonts w:ascii="Times New Roman" w:eastAsia="Times New Roman" w:hAnsi="Times New Roman" w:cs="Times New Roman"/>
          <w:sz w:val="24"/>
          <w:szCs w:val="24"/>
        </w:rPr>
      </w:pPr>
    </w:p>
    <w:p w:rsidR="00744C42" w:rsidRDefault="002371E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How parents can apply for their child to be admitted to our school </w:t>
      </w:r>
    </w:p>
    <w:p w:rsidR="00744C42" w:rsidRDefault="002371E6">
      <w:pPr>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Our school determines the admission arrangements in agreement with the local authority (LA). The Admissions Authority for our school is therefore the LA, which publishes its entry regulations every year. Parents can receive a copy of these regulations directly from the LA. </w:t>
      </w:r>
    </w:p>
    <w:p w:rsidR="00744C42" w:rsidRDefault="002371E6">
      <w:pPr>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The LA’s annual admissions prospectus informs parents how to apply for a place at the school of their choice. Parents have a right to express their preference, but this does not, in itself, guarantee a place at that particular school. Applications for Reception places are made online. The school will notify parents of the decision as soon as all the applications have been considered. </w:t>
      </w:r>
    </w:p>
    <w:p w:rsidR="00744C42" w:rsidRDefault="00744C42">
      <w:pPr>
        <w:rPr>
          <w:rFonts w:ascii="Times New Roman" w:eastAsia="Times New Roman" w:hAnsi="Times New Roman" w:cs="Times New Roman"/>
          <w:sz w:val="24"/>
          <w:szCs w:val="24"/>
        </w:rPr>
      </w:pPr>
    </w:p>
    <w:p w:rsidR="00744C42" w:rsidRDefault="002371E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Admissions appeals </w:t>
      </w:r>
    </w:p>
    <w:p w:rsidR="00744C42" w:rsidRDefault="002371E6">
      <w:pPr>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If we do not offer a child a place at this school, this will be because to do so would prejudice the education of other children by allowing the number of children in the school to increase too much. </w:t>
      </w:r>
    </w:p>
    <w:p w:rsidR="00744C42" w:rsidRDefault="002371E6">
      <w:pPr>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If parents wish to appeal against a decision to refuse entry, they can do so by applying to the LA. An independent panel considers all such appeals, and its decision is binding for all parties concerned. If the appeals panel decides that we should admit a child to whom we had </w:t>
      </w:r>
      <w:r>
        <w:rPr>
          <w:rFonts w:ascii="Times New Roman" w:eastAsia="Times New Roman" w:hAnsi="Times New Roman" w:cs="Times New Roman"/>
          <w:sz w:val="24"/>
          <w:szCs w:val="24"/>
        </w:rPr>
        <w:lastRenderedPageBreak/>
        <w:t xml:space="preserve">refused a place, then we will accept this decision and continue to do all we can to provide the best education for all the children at our school. (Further details of appeal arrangements are set out in the revised Code of Practice on School Admissions Appeals, which came into force in September 2004). </w:t>
      </w:r>
    </w:p>
    <w:p w:rsidR="00744C42" w:rsidRDefault="00744C42">
      <w:pPr>
        <w:rPr>
          <w:rFonts w:ascii="Times New Roman" w:eastAsia="Times New Roman" w:hAnsi="Times New Roman" w:cs="Times New Roman"/>
          <w:sz w:val="24"/>
          <w:szCs w:val="24"/>
        </w:rPr>
      </w:pPr>
    </w:p>
    <w:p w:rsidR="00744C42" w:rsidRDefault="002371E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The standard number </w:t>
      </w:r>
    </w:p>
    <w:p w:rsidR="00744C42" w:rsidRDefault="002371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‘standard number’ is the number of children the LA considers the school can accommodate and is determined by the Local Authority. Our standard number is 210.</w:t>
      </w:r>
    </w:p>
    <w:p w:rsidR="00744C42" w:rsidRDefault="00744C42">
      <w:pPr>
        <w:rPr>
          <w:rFonts w:ascii="Times New Roman" w:eastAsia="Times New Roman" w:hAnsi="Times New Roman" w:cs="Times New Roman"/>
          <w:sz w:val="24"/>
          <w:szCs w:val="24"/>
        </w:rPr>
      </w:pPr>
    </w:p>
    <w:p w:rsidR="00744C42" w:rsidRDefault="002371E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Monitoring and review </w:t>
      </w:r>
    </w:p>
    <w:p w:rsidR="00744C42" w:rsidRDefault="002371E6">
      <w:pPr>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This policy will be monitored by the governing body, who will always take due note of the guidance provided by the local Admissions Forum. </w:t>
      </w:r>
    </w:p>
    <w:p w:rsidR="00744C42" w:rsidRDefault="002371E6">
      <w:pPr>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The policy will be reviewed every two years, or earlier in the light of any change circumstances, either in our school or in the local area.</w:t>
      </w:r>
    </w:p>
    <w:sectPr w:rsidR="00744C4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42"/>
    <w:rsid w:val="0010781F"/>
    <w:rsid w:val="002371E6"/>
    <w:rsid w:val="0074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408D"/>
  <w15:docId w15:val="{16309FB8-D6CE-4C49-81D8-437F9ABE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D8DFD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Burnside Staff</dc:creator>
  <cp:lastModifiedBy>K. Charlton [ Burnside Primary School ]</cp:lastModifiedBy>
  <cp:revision>2</cp:revision>
  <dcterms:created xsi:type="dcterms:W3CDTF">2024-09-15T19:13:00Z</dcterms:created>
  <dcterms:modified xsi:type="dcterms:W3CDTF">2024-09-15T19:13:00Z</dcterms:modified>
</cp:coreProperties>
</file>